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B6E1A" w:rsidRDefault="008B6E1A">
      <w:pPr>
        <w:widowControl w:val="0"/>
        <w:pBdr>
          <w:top w:val="nil"/>
          <w:left w:val="nil"/>
          <w:bottom w:val="nil"/>
          <w:right w:val="nil"/>
          <w:between w:val="nil"/>
        </w:pBdr>
        <w:spacing w:after="0" w:line="276" w:lineRule="auto"/>
        <w:jc w:val="left"/>
      </w:pPr>
    </w:p>
    <w:p w14:paraId="00000002" w14:textId="77777777" w:rsidR="008B6E1A" w:rsidRDefault="008B6E1A">
      <w:pPr>
        <w:widowControl w:val="0"/>
        <w:pBdr>
          <w:top w:val="nil"/>
          <w:left w:val="nil"/>
          <w:bottom w:val="nil"/>
          <w:right w:val="nil"/>
          <w:between w:val="nil"/>
        </w:pBdr>
        <w:spacing w:after="0" w:line="276" w:lineRule="auto"/>
        <w:jc w:val="left"/>
      </w:pPr>
    </w:p>
    <w:p w14:paraId="00000003" w14:textId="77777777" w:rsidR="008B6E1A" w:rsidRDefault="008B6E1A">
      <w:pPr>
        <w:widowControl w:val="0"/>
        <w:pBdr>
          <w:top w:val="nil"/>
          <w:left w:val="nil"/>
          <w:bottom w:val="nil"/>
          <w:right w:val="nil"/>
          <w:between w:val="nil"/>
        </w:pBdr>
        <w:spacing w:after="0" w:line="276" w:lineRule="auto"/>
        <w:jc w:val="left"/>
      </w:pPr>
    </w:p>
    <w:p w14:paraId="00000004" w14:textId="77777777" w:rsidR="008B6E1A" w:rsidRDefault="004967E9">
      <w:pPr>
        <w:rPr>
          <w:rFonts w:ascii="Arial" w:eastAsia="Arial" w:hAnsi="Arial"/>
          <w:b/>
          <w:sz w:val="36"/>
          <w:szCs w:val="36"/>
        </w:rPr>
      </w:pPr>
      <w:r>
        <w:rPr>
          <w:rFonts w:ascii="Arial" w:eastAsia="Arial" w:hAnsi="Arial"/>
          <w:b/>
          <w:sz w:val="36"/>
          <w:szCs w:val="36"/>
        </w:rPr>
        <w:t>Framework Schedule 5 (Management Charges and Information)</w:t>
      </w:r>
    </w:p>
    <w:p w14:paraId="00000005" w14:textId="77777777" w:rsidR="008B6E1A" w:rsidRDefault="004967E9">
      <w:pPr>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6" w14:textId="33653DA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The Supplier shall </w:t>
      </w:r>
      <w:r>
        <w:rPr>
          <w:rFonts w:ascii="Arial" w:eastAsia="Arial" w:hAnsi="Arial"/>
          <w:sz w:val="24"/>
          <w:szCs w:val="24"/>
        </w:rPr>
        <w:t>provide such other additional information in relation to, or connected with, this Contract as CCS may request from time to time.</w:t>
      </w:r>
    </w:p>
    <w:p w14:paraId="00000007"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Framework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8" w14:textId="77777777" w:rsidR="008B6E1A" w:rsidRDefault="004967E9">
      <w:pPr>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Reporting period</w:t>
      </w:r>
    </w:p>
    <w:p w14:paraId="00000009"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b/>
          <w:color w:val="000000"/>
          <w:sz w:val="24"/>
          <w:szCs w:val="24"/>
        </w:rPr>
      </w:pP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A"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In an MI Report, the Supplier should report contract data that is one month in arrears. For example, if an invoice is raised for October but the work was </w:t>
      </w:r>
      <w:proofErr w:type="gramStart"/>
      <w:r>
        <w:rPr>
          <w:rFonts w:ascii="Arial" w:eastAsia="Arial" w:hAnsi="Arial"/>
          <w:color w:val="000000"/>
          <w:sz w:val="24"/>
          <w:szCs w:val="24"/>
        </w:rPr>
        <w:t>actually completed</w:t>
      </w:r>
      <w:proofErr w:type="gramEnd"/>
      <w:r>
        <w:rPr>
          <w:rFonts w:ascii="Arial" w:eastAsia="Arial" w:hAnsi="Arial"/>
          <w:color w:val="000000"/>
          <w:sz w:val="24"/>
          <w:szCs w:val="24"/>
        </w:rPr>
        <w:t xml:space="preserve"> in September, the Supplier must report the invoice in October's MI Report and not September's. Each Order received by the Supplier must be reported only once, i.e. when the Order is received. </w:t>
      </w:r>
    </w:p>
    <w:p w14:paraId="0000000B" w14:textId="77777777" w:rsidR="008B6E1A" w:rsidRDefault="004967E9">
      <w:pPr>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66AC3A44"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lastRenderedPageBreak/>
        <w:t>The Supplier shall:</w:t>
      </w:r>
    </w:p>
    <w:p w14:paraId="00000011"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promptly after the Framework Start Date provide an e-mail and/or postal address to which CCS will send invoices for the Management Charge and monthly statements relating to the invoicing of the Management Charge;</w:t>
      </w:r>
    </w:p>
    <w:p w14:paraId="00000012"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promptly after the Framework Start Date provide at least one contact name and contact details for the purposes of queries relating to either Management Information or invoicing; and</w:t>
      </w:r>
    </w:p>
    <w:p w14:paraId="00000013"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immediately notify CCS of any changes to the details previously provided to CCS under this Paragraph 3.5.</w:t>
      </w:r>
    </w:p>
    <w:p w14:paraId="00000014" w14:textId="77777777" w:rsidR="008B6E1A" w:rsidRDefault="004967E9">
      <w:pPr>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5"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6" w14:textId="16300AFF"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Relevant </w:t>
      </w:r>
      <w:r w:rsidR="00930A23">
        <w:rPr>
          <w:rFonts w:ascii="Arial" w:eastAsia="Arial" w:hAnsi="Arial"/>
          <w:color w:val="000000"/>
          <w:sz w:val="24"/>
          <w:szCs w:val="24"/>
        </w:rPr>
        <w:t>A</w:t>
      </w:r>
      <w:r w:rsidR="0079671D">
        <w:rPr>
          <w:rFonts w:ascii="Arial" w:eastAsia="Arial" w:hAnsi="Arial"/>
          <w:color w:val="000000"/>
          <w:sz w:val="24"/>
          <w:szCs w:val="24"/>
        </w:rPr>
        <w:t>uthority</w:t>
      </w:r>
      <w:r>
        <w:rPr>
          <w:rFonts w:ascii="Arial" w:eastAsia="Arial" w:hAnsi="Arial"/>
          <w:color w:val="000000"/>
          <w:sz w:val="24"/>
          <w:szCs w:val="24"/>
        </w:rPr>
        <w:t>; and/or</w:t>
      </w:r>
    </w:p>
    <w:p w14:paraId="00000017"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8" w14:textId="77777777" w:rsidR="008B6E1A" w:rsidRDefault="004967E9">
      <w:pPr>
        <w:pBdr>
          <w:top w:val="nil"/>
          <w:left w:val="nil"/>
          <w:bottom w:val="nil"/>
          <w:right w:val="nil"/>
          <w:between w:val="nil"/>
        </w:pBdr>
        <w:tabs>
          <w:tab w:val="left" w:pos="1134"/>
          <w:tab w:val="left" w:pos="1843"/>
        </w:tabs>
        <w:spacing w:before="120" w:after="120"/>
        <w:ind w:left="1843"/>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9"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A" w14:textId="4C22A48A"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Following receipt of the completed MI Report, CCS shall invoice the Supplier for the Management Charge payable for the Month to which the MI </w:t>
      </w:r>
      <w:r w:rsidR="0079671D">
        <w:rPr>
          <w:rFonts w:ascii="Arial" w:eastAsia="Arial" w:hAnsi="Arial"/>
          <w:color w:val="000000"/>
          <w:sz w:val="24"/>
          <w:szCs w:val="24"/>
        </w:rPr>
        <w:t>R</w:t>
      </w:r>
      <w:r>
        <w:rPr>
          <w:rFonts w:ascii="Arial" w:eastAsia="Arial" w:hAnsi="Arial"/>
          <w:color w:val="000000"/>
          <w:sz w:val="24"/>
          <w:szCs w:val="24"/>
        </w:rPr>
        <w:t>eport relates.</w:t>
      </w:r>
    </w:p>
    <w:p w14:paraId="0000001B" w14:textId="77777777" w:rsidR="008B6E1A" w:rsidRDefault="004967E9">
      <w:pPr>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1C"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312BF707" w14:textId="77777777" w:rsidR="00CB38B7" w:rsidRDefault="004967E9" w:rsidP="00CB38B7">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Framework Schedule) in cleared funds within 30 days of receipt by the Supplier of an undisputed invoice to such bank or building society account set out in the invoice.</w:t>
      </w:r>
      <w:r w:rsidR="00CB38B7">
        <w:rPr>
          <w:rFonts w:ascii="Arial" w:eastAsia="Arial" w:hAnsi="Arial"/>
          <w:color w:val="000000"/>
          <w:sz w:val="24"/>
          <w:szCs w:val="24"/>
        </w:rPr>
        <w:t xml:space="preserve"> </w:t>
      </w:r>
    </w:p>
    <w:p w14:paraId="4C0CC90F" w14:textId="03AF9EB2" w:rsidR="00CB38B7" w:rsidRDefault="00CB38B7" w:rsidP="00CB38B7">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For the avoidance of doubt, the Management Charge shall be payable during the Framework Contract Period (including any Framework Managed Exit Period). </w:t>
      </w:r>
    </w:p>
    <w:p w14:paraId="0000001D" w14:textId="22A7874C" w:rsidR="008B6E1A" w:rsidRPr="00CB38B7" w:rsidRDefault="00CB38B7" w:rsidP="008A3672">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CB38B7">
        <w:rPr>
          <w:rFonts w:ascii="Arial" w:eastAsia="Arial" w:hAnsi="Arial"/>
          <w:color w:val="000000"/>
          <w:sz w:val="24"/>
          <w:szCs w:val="24"/>
        </w:rPr>
        <w:t xml:space="preserve"> </w:t>
      </w:r>
    </w:p>
    <w:p w14:paraId="0000001E" w14:textId="77777777" w:rsidR="008B6E1A" w:rsidRDefault="004967E9">
      <w:pPr>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1F"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smallCaps/>
          <w:color w:val="000000"/>
          <w:sz w:val="24"/>
          <w:szCs w:val="24"/>
        </w:rPr>
      </w:pPr>
      <w:r>
        <w:rPr>
          <w:rFonts w:ascii="Arial" w:eastAsia="Arial" w:hAnsi="Arial"/>
          <w:color w:val="000000"/>
          <w:sz w:val="24"/>
          <w:szCs w:val="24"/>
        </w:rPr>
        <w:lastRenderedPageBreak/>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0"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smallCaps/>
          <w:color w:val="000000"/>
          <w:sz w:val="24"/>
          <w:szCs w:val="24"/>
        </w:rPr>
      </w:pPr>
      <w:r>
        <w:rPr>
          <w:rFonts w:ascii="Arial" w:eastAsia="Arial" w:hAnsi="Arial"/>
          <w:color w:val="000000"/>
          <w:sz w:val="24"/>
          <w:szCs w:val="24"/>
        </w:rPr>
        <w:t>issuing the supplier with reminders that an invoice payment is due and/or overdue;</w:t>
      </w:r>
    </w:p>
    <w:p w14:paraId="00000021"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smallCaps/>
          <w:color w:val="000000"/>
          <w:sz w:val="24"/>
          <w:szCs w:val="24"/>
        </w:rPr>
      </w:pPr>
      <w:r>
        <w:rPr>
          <w:rFonts w:ascii="Arial" w:eastAsia="Arial" w:hAnsi="Arial"/>
          <w:color w:val="000000"/>
          <w:sz w:val="24"/>
          <w:szCs w:val="24"/>
        </w:rPr>
        <w:t>charging statutory interest and charges on overdue invoices, as per the Late Payment of Commercial Debts (Interest) Act 1998;</w:t>
      </w:r>
    </w:p>
    <w:p w14:paraId="00000022"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smallCaps/>
          <w:color w:val="000000"/>
          <w:sz w:val="24"/>
          <w:szCs w:val="24"/>
        </w:rPr>
      </w:pPr>
      <w:r>
        <w:rPr>
          <w:rFonts w:ascii="Arial" w:eastAsia="Arial" w:hAnsi="Arial"/>
          <w:color w:val="000000"/>
          <w:sz w:val="24"/>
          <w:szCs w:val="24"/>
        </w:rPr>
        <w:t>suspending the supplier from the agreement until such time that overdue invoices are paid; and/or</w:t>
      </w:r>
    </w:p>
    <w:p w14:paraId="00000023" w14:textId="680F1C0B" w:rsidR="008B6E1A" w:rsidRDefault="004967E9">
      <w:pPr>
        <w:numPr>
          <w:ilvl w:val="2"/>
          <w:numId w:val="1"/>
        </w:numPr>
        <w:pBdr>
          <w:top w:val="nil"/>
          <w:left w:val="nil"/>
          <w:bottom w:val="nil"/>
          <w:right w:val="nil"/>
          <w:between w:val="nil"/>
        </w:pBdr>
        <w:tabs>
          <w:tab w:val="left" w:pos="1134"/>
          <w:tab w:val="left" w:pos="284"/>
          <w:tab w:val="left" w:pos="993"/>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 xml:space="preserve">terminating this </w:t>
      </w:r>
      <w:r w:rsidR="0079671D">
        <w:rPr>
          <w:rFonts w:ascii="Arial" w:eastAsia="Arial" w:hAnsi="Arial"/>
          <w:color w:val="000000"/>
          <w:sz w:val="24"/>
          <w:szCs w:val="24"/>
        </w:rPr>
        <w:t>C</w:t>
      </w:r>
      <w:r>
        <w:rPr>
          <w:rFonts w:ascii="Arial" w:eastAsia="Arial" w:hAnsi="Arial"/>
          <w:color w:val="000000"/>
          <w:sz w:val="24"/>
          <w:szCs w:val="24"/>
        </w:rPr>
        <w:t>ontract.</w:t>
      </w:r>
    </w:p>
    <w:p w14:paraId="00000024" w14:textId="77777777" w:rsidR="008B6E1A" w:rsidRDefault="004967E9">
      <w:pPr>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25" w14:textId="26B3D100"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If the Supplier or CCS identify error(s) and/or omission(s) in historic MI Report(s), the Supplier must provide corrected MI </w:t>
      </w:r>
      <w:r w:rsidR="0079671D">
        <w:rPr>
          <w:rFonts w:ascii="Arial" w:eastAsia="Arial" w:hAnsi="Arial"/>
          <w:color w:val="000000"/>
          <w:sz w:val="24"/>
          <w:szCs w:val="24"/>
        </w:rPr>
        <w:t>R</w:t>
      </w:r>
      <w:r>
        <w:rPr>
          <w:rFonts w:ascii="Arial" w:eastAsia="Arial" w:hAnsi="Arial"/>
          <w:color w:val="000000"/>
          <w:sz w:val="24"/>
          <w:szCs w:val="24"/>
        </w:rPr>
        <w:t>eport(s) to CCS on or before the date when the next MI Report is due. Corrections may be either in the form of an addendum to the next MI submission, or a resubmission of existing historic returns, at the discretion of CCS.</w:t>
      </w:r>
    </w:p>
    <w:p w14:paraId="00000026"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27" w14:textId="77777777" w:rsidR="008B6E1A" w:rsidRDefault="004967E9">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28"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29" w14:textId="77777777" w:rsidR="008B6E1A" w:rsidRDefault="004967E9">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2A"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2B"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The Supplier acknowledges and agrees that the Admin Fees are a fair reflection of the additional costs incurred by CCS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the Supplier failing to provide Management Information as required by this Contract.</w:t>
      </w:r>
    </w:p>
    <w:p w14:paraId="0000002C" w14:textId="77777777" w:rsidR="008B6E1A" w:rsidRDefault="008B6E1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D" w14:textId="77777777" w:rsidR="008B6E1A" w:rsidRDefault="004967E9">
      <w:pPr>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0000002E"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2F"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0"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lastRenderedPageBreak/>
        <w:t>suspend the Supplier from the agreement until such time that deficient MI reports(s) are rectified; and/or</w:t>
      </w:r>
    </w:p>
    <w:p w14:paraId="00000031"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2"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3"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34"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35" w14:textId="77777777" w:rsidR="008B6E1A" w:rsidRDefault="004967E9">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36"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 xml:space="preserve">the Supplier has overpaid the Management Charge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the application of the Default Management Charge then the Supplier shall be entitled to a refund of the overpayment, net of any Admin Fees where applicable; or</w:t>
      </w:r>
    </w:p>
    <w:p w14:paraId="00000037" w14:textId="77777777" w:rsidR="008B6E1A" w:rsidRDefault="004967E9">
      <w:pPr>
        <w:numPr>
          <w:ilvl w:val="2"/>
          <w:numId w:val="1"/>
        </w:numPr>
        <w:pBdr>
          <w:top w:val="nil"/>
          <w:left w:val="nil"/>
          <w:bottom w:val="nil"/>
          <w:right w:val="nil"/>
          <w:between w:val="nil"/>
        </w:pBdr>
        <w:tabs>
          <w:tab w:val="left" w:pos="1134"/>
          <w:tab w:val="left" w:pos="1843"/>
        </w:tabs>
        <w:spacing w:before="120" w:after="120"/>
        <w:ind w:left="1843" w:hanging="709"/>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38" w14:textId="77777777" w:rsidR="008B6E1A" w:rsidRDefault="004967E9">
      <w:pPr>
        <w:spacing w:after="200" w:line="276" w:lineRule="auto"/>
        <w:jc w:val="left"/>
        <w:rPr>
          <w:rFonts w:ascii="Arial" w:eastAsia="Arial" w:hAnsi="Arial"/>
          <w:sz w:val="24"/>
          <w:szCs w:val="24"/>
        </w:rPr>
      </w:pPr>
      <w:r>
        <w:br w:type="page"/>
      </w:r>
    </w:p>
    <w:p w14:paraId="00000039" w14:textId="77777777" w:rsidR="008B6E1A" w:rsidRDefault="004967E9">
      <w:pPr>
        <w:jc w:val="left"/>
        <w:rPr>
          <w:rFonts w:ascii="Arial" w:eastAsia="Arial" w:hAnsi="Arial"/>
          <w:b/>
          <w:sz w:val="24"/>
          <w:szCs w:val="24"/>
        </w:rPr>
      </w:pPr>
      <w:r>
        <w:rPr>
          <w:rFonts w:ascii="Arial" w:eastAsia="Arial" w:hAnsi="Arial"/>
          <w:b/>
          <w:sz w:val="24"/>
          <w:szCs w:val="24"/>
        </w:rPr>
        <w:lastRenderedPageBreak/>
        <w:t>Annex: MI Reporting Template</w:t>
      </w:r>
    </w:p>
    <w:p w14:paraId="0000003A" w14:textId="77777777" w:rsidR="008B6E1A" w:rsidRDefault="004967E9">
      <w:pPr>
        <w:jc w:val="left"/>
        <w:rPr>
          <w:rFonts w:ascii="Arial" w:eastAsia="Arial" w:hAnsi="Arial"/>
          <w:sz w:val="24"/>
          <w:szCs w:val="24"/>
        </w:rPr>
      </w:pPr>
      <w:r>
        <w:rPr>
          <w:rFonts w:ascii="Arial" w:eastAsia="Arial" w:hAnsi="Arial"/>
          <w:sz w:val="24"/>
          <w:szCs w:val="24"/>
        </w:rPr>
        <w:t xml:space="preserve">CCS and the Supplier shall agree the form of MI reporting meeting the reasonable requirements of CCS within thirty (30) days of the Framework Start Date. If no such form is agreed, CCS shall provide a MI template to the Supplier.  </w:t>
      </w:r>
    </w:p>
    <w:p w14:paraId="0000003B" w14:textId="77777777" w:rsidR="008B6E1A" w:rsidRDefault="008B6E1A">
      <w:pPr>
        <w:rPr>
          <w:rFonts w:ascii="Arial" w:eastAsia="Arial" w:hAnsi="Arial"/>
          <w:sz w:val="24"/>
          <w:szCs w:val="24"/>
        </w:rPr>
      </w:pPr>
    </w:p>
    <w:p w14:paraId="0000003C" w14:textId="77777777" w:rsidR="008B6E1A" w:rsidRDefault="008B6E1A">
      <w:pPr>
        <w:jc w:val="left"/>
        <w:rPr>
          <w:rFonts w:ascii="Arial" w:eastAsia="Arial" w:hAnsi="Arial"/>
          <w:sz w:val="24"/>
          <w:szCs w:val="24"/>
        </w:rPr>
      </w:pPr>
    </w:p>
    <w:p w14:paraId="0000003D" w14:textId="77777777" w:rsidR="008B6E1A" w:rsidRDefault="008B6E1A">
      <w:pPr>
        <w:jc w:val="left"/>
        <w:rPr>
          <w:rFonts w:ascii="Arial" w:eastAsia="Arial" w:hAnsi="Arial"/>
          <w:sz w:val="24"/>
          <w:szCs w:val="24"/>
        </w:rPr>
      </w:pPr>
    </w:p>
    <w:p w14:paraId="0000003E" w14:textId="77777777" w:rsidR="008B6E1A" w:rsidRDefault="008B6E1A">
      <w:pPr>
        <w:jc w:val="left"/>
        <w:rPr>
          <w:rFonts w:ascii="Arial" w:eastAsia="Arial" w:hAnsi="Arial"/>
          <w:sz w:val="24"/>
          <w:szCs w:val="24"/>
        </w:rPr>
      </w:pPr>
    </w:p>
    <w:p w14:paraId="0000003F" w14:textId="77777777" w:rsidR="008B6E1A" w:rsidRDefault="008B6E1A">
      <w:pPr>
        <w:jc w:val="left"/>
        <w:rPr>
          <w:rFonts w:ascii="Arial" w:eastAsia="Arial" w:hAnsi="Arial"/>
          <w:sz w:val="24"/>
          <w:szCs w:val="24"/>
        </w:rPr>
      </w:pPr>
    </w:p>
    <w:p w14:paraId="00000040" w14:textId="77777777" w:rsidR="008B6E1A" w:rsidRDefault="008B6E1A">
      <w:pPr>
        <w:jc w:val="left"/>
        <w:rPr>
          <w:rFonts w:ascii="Arial" w:eastAsia="Arial" w:hAnsi="Arial"/>
          <w:sz w:val="24"/>
          <w:szCs w:val="24"/>
        </w:rPr>
      </w:pPr>
    </w:p>
    <w:p w14:paraId="00000041" w14:textId="77777777" w:rsidR="008B6E1A" w:rsidRDefault="008B6E1A">
      <w:pPr>
        <w:jc w:val="left"/>
        <w:rPr>
          <w:rFonts w:ascii="Arial" w:eastAsia="Arial" w:hAnsi="Arial"/>
          <w:sz w:val="24"/>
          <w:szCs w:val="24"/>
        </w:rPr>
      </w:pPr>
    </w:p>
    <w:p w14:paraId="00000042" w14:textId="77777777" w:rsidR="008B6E1A" w:rsidRDefault="008B6E1A">
      <w:pPr>
        <w:rPr>
          <w:rFonts w:ascii="Arial" w:eastAsia="Arial" w:hAnsi="Arial"/>
          <w:sz w:val="24"/>
          <w:szCs w:val="24"/>
        </w:rPr>
      </w:pPr>
    </w:p>
    <w:p w14:paraId="00000043" w14:textId="77777777" w:rsidR="008B6E1A" w:rsidRDefault="008B6E1A">
      <w:pPr>
        <w:rPr>
          <w:rFonts w:ascii="Arial" w:eastAsia="Arial" w:hAnsi="Arial"/>
          <w:sz w:val="24"/>
          <w:szCs w:val="24"/>
        </w:rPr>
      </w:pPr>
    </w:p>
    <w:p w14:paraId="00000044" w14:textId="77777777" w:rsidR="008B6E1A" w:rsidRDefault="008B6E1A">
      <w:pPr>
        <w:rPr>
          <w:rFonts w:ascii="Arial" w:eastAsia="Arial" w:hAnsi="Arial"/>
          <w:sz w:val="24"/>
          <w:szCs w:val="24"/>
        </w:rPr>
      </w:pPr>
    </w:p>
    <w:p w14:paraId="00000045" w14:textId="77777777" w:rsidR="008B6E1A" w:rsidRDefault="008B6E1A">
      <w:pPr>
        <w:jc w:val="left"/>
        <w:rPr>
          <w:rFonts w:ascii="Arial" w:eastAsia="Arial" w:hAnsi="Arial"/>
          <w:sz w:val="24"/>
          <w:szCs w:val="24"/>
        </w:rPr>
      </w:pPr>
    </w:p>
    <w:sectPr w:rsidR="008B6E1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72E5A" w14:textId="77777777" w:rsidR="007A0AE7" w:rsidRDefault="007A0AE7">
      <w:pPr>
        <w:spacing w:after="0"/>
      </w:pPr>
      <w:r>
        <w:separator/>
      </w:r>
    </w:p>
  </w:endnote>
  <w:endnote w:type="continuationSeparator" w:id="0">
    <w:p w14:paraId="19377D68" w14:textId="77777777" w:rsidR="007A0AE7" w:rsidRDefault="007A0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B" w14:textId="77777777" w:rsidR="008B6E1A" w:rsidRDefault="008B6E1A">
    <w:pPr>
      <w:pBdr>
        <w:top w:val="nil"/>
        <w:left w:val="nil"/>
        <w:bottom w:val="nil"/>
        <w:right w:val="nil"/>
        <w:between w:val="nil"/>
      </w:pBdr>
      <w:tabs>
        <w:tab w:val="center" w:pos="4513"/>
        <w:tab w:val="right" w:pos="9026"/>
      </w:tabs>
      <w:spacing w:after="0"/>
      <w:rPr>
        <w:color w:val="000000"/>
      </w:rPr>
    </w:pPr>
  </w:p>
  <w:p w14:paraId="0000004C" w14:textId="235987FC" w:rsidR="008B6E1A" w:rsidRDefault="00272ECD">
    <w:pPr>
      <w:pBdr>
        <w:top w:val="nil"/>
        <w:left w:val="nil"/>
        <w:bottom w:val="nil"/>
        <w:right w:val="nil"/>
        <w:between w:val="nil"/>
      </w:pBdr>
      <w:tabs>
        <w:tab w:val="center" w:pos="4513"/>
        <w:tab w:val="right" w:pos="9026"/>
      </w:tabs>
      <w:spacing w:after="0"/>
      <w:rPr>
        <w:color w:val="000000"/>
      </w:rPr>
    </w:pPr>
    <w:r>
      <w:rPr>
        <w:color w:val="000000"/>
      </w:rPr>
      <w:t>78557537.5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F" w14:textId="77777777" w:rsidR="008B6E1A" w:rsidRDefault="004967E9">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00000050" w14:textId="77358778" w:rsidR="008B6E1A" w:rsidRDefault="004967E9">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825378">
      <w:rPr>
        <w:rFonts w:ascii="Arial" w:eastAsia="Arial" w:hAnsi="Arial"/>
        <w:noProof/>
        <w:color w:val="000000"/>
        <w:sz w:val="20"/>
        <w:szCs w:val="20"/>
      </w:rPr>
      <w:t>1</w:t>
    </w:r>
    <w:r>
      <w:rPr>
        <w:rFonts w:ascii="Arial" w:eastAsia="Arial" w:hAnsi="Arial"/>
        <w:color w:val="000000"/>
        <w:sz w:val="20"/>
        <w:szCs w:val="20"/>
      </w:rPr>
      <w:fldChar w:fldCharType="end"/>
    </w:r>
  </w:p>
  <w:p w14:paraId="00000051" w14:textId="77777777" w:rsidR="008B6E1A" w:rsidRDefault="004967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8" w:name="_heading=h.4d34og8" w:colFirst="0" w:colLast="0"/>
    <w:bookmarkEnd w:id="8"/>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p w14:paraId="00000052" w14:textId="7085C0A3" w:rsidR="008B6E1A" w:rsidRDefault="00272E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78557537.5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D" w14:textId="77777777" w:rsidR="008B6E1A" w:rsidRDefault="008B6E1A">
    <w:pPr>
      <w:pBdr>
        <w:top w:val="nil"/>
        <w:left w:val="nil"/>
        <w:bottom w:val="nil"/>
        <w:right w:val="nil"/>
        <w:between w:val="nil"/>
      </w:pBdr>
      <w:tabs>
        <w:tab w:val="center" w:pos="4513"/>
        <w:tab w:val="right" w:pos="9026"/>
      </w:tabs>
      <w:spacing w:after="0"/>
      <w:rPr>
        <w:color w:val="000000"/>
      </w:rPr>
    </w:pPr>
  </w:p>
  <w:p w14:paraId="0000004E" w14:textId="5ADB73E5" w:rsidR="008B6E1A" w:rsidRDefault="00272ECD">
    <w:pPr>
      <w:pBdr>
        <w:top w:val="nil"/>
        <w:left w:val="nil"/>
        <w:bottom w:val="nil"/>
        <w:right w:val="nil"/>
        <w:between w:val="nil"/>
      </w:pBdr>
      <w:tabs>
        <w:tab w:val="center" w:pos="4513"/>
        <w:tab w:val="right" w:pos="9026"/>
      </w:tabs>
      <w:spacing w:after="0"/>
      <w:rPr>
        <w:color w:val="000000"/>
      </w:rPr>
    </w:pPr>
    <w:r>
      <w:rPr>
        <w:color w:val="000000"/>
      </w:rPr>
      <w:t>78557537.5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529F3" w14:textId="77777777" w:rsidR="007A0AE7" w:rsidRDefault="007A0AE7">
      <w:pPr>
        <w:spacing w:after="0"/>
      </w:pPr>
      <w:r>
        <w:separator/>
      </w:r>
    </w:p>
  </w:footnote>
  <w:footnote w:type="continuationSeparator" w:id="0">
    <w:p w14:paraId="75C1C09A" w14:textId="77777777" w:rsidR="007A0AE7" w:rsidRDefault="007A0A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8" w14:textId="77777777" w:rsidR="008B6E1A" w:rsidRDefault="008B6E1A">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6" w14:textId="77777777" w:rsidR="008B6E1A" w:rsidRDefault="004967E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47" w14:textId="77777777" w:rsidR="008B6E1A" w:rsidRDefault="004967E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9" w14:textId="77777777" w:rsidR="008B6E1A" w:rsidRDefault="004967E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4A" w14:textId="77777777" w:rsidR="008B6E1A" w:rsidRDefault="004967E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1C333D"/>
    <w:multiLevelType w:val="multilevel"/>
    <w:tmpl w:val="D0B686C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6152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E1A"/>
    <w:rsid w:val="000065EC"/>
    <w:rsid w:val="00107CA9"/>
    <w:rsid w:val="00133DDE"/>
    <w:rsid w:val="001D683C"/>
    <w:rsid w:val="00223DCA"/>
    <w:rsid w:val="00257FEA"/>
    <w:rsid w:val="00272ECD"/>
    <w:rsid w:val="00294E15"/>
    <w:rsid w:val="002D6175"/>
    <w:rsid w:val="00347925"/>
    <w:rsid w:val="003D03B0"/>
    <w:rsid w:val="00433539"/>
    <w:rsid w:val="00446C32"/>
    <w:rsid w:val="004528A7"/>
    <w:rsid w:val="004967E9"/>
    <w:rsid w:val="005256BD"/>
    <w:rsid w:val="005E7737"/>
    <w:rsid w:val="006E691C"/>
    <w:rsid w:val="00730B48"/>
    <w:rsid w:val="00731AAC"/>
    <w:rsid w:val="00791981"/>
    <w:rsid w:val="0079513C"/>
    <w:rsid w:val="0079671D"/>
    <w:rsid w:val="00796D4D"/>
    <w:rsid w:val="007A0AE7"/>
    <w:rsid w:val="007F5AD2"/>
    <w:rsid w:val="00825378"/>
    <w:rsid w:val="00865777"/>
    <w:rsid w:val="0088337F"/>
    <w:rsid w:val="00886BA3"/>
    <w:rsid w:val="008A3672"/>
    <w:rsid w:val="008B6E1A"/>
    <w:rsid w:val="00930A23"/>
    <w:rsid w:val="00974A1D"/>
    <w:rsid w:val="00983824"/>
    <w:rsid w:val="009A5E9F"/>
    <w:rsid w:val="009B25A5"/>
    <w:rsid w:val="00A73FE8"/>
    <w:rsid w:val="00A95C83"/>
    <w:rsid w:val="00AB7FD8"/>
    <w:rsid w:val="00AD78A2"/>
    <w:rsid w:val="00AF2240"/>
    <w:rsid w:val="00BA764A"/>
    <w:rsid w:val="00C219A7"/>
    <w:rsid w:val="00CB38B7"/>
    <w:rsid w:val="00CC5476"/>
    <w:rsid w:val="00D015BF"/>
    <w:rsid w:val="00D35BCD"/>
    <w:rsid w:val="00D439F0"/>
    <w:rsid w:val="00D54724"/>
    <w:rsid w:val="00DB2340"/>
    <w:rsid w:val="00DE4226"/>
    <w:rsid w:val="00E629DF"/>
    <w:rsid w:val="00EA78A4"/>
    <w:rsid w:val="00F25D1E"/>
    <w:rsid w:val="00F36F6E"/>
    <w:rsid w:val="00FE0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A40E4"/>
  <w15:docId w15:val="{6B30C1C4-FEE3-4885-AC85-AD7A0619A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iqLZkvybAvYgBgG79JmgOrghIw==">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1227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7</cp:revision>
  <dcterms:created xsi:type="dcterms:W3CDTF">2023-06-22T10:55:00Z</dcterms:created>
  <dcterms:modified xsi:type="dcterms:W3CDTF">2023-07-17T11:56:00Z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ID">
    <vt:lpwstr>78557537.5</vt:lpwstr>
  </property>
</Properties>
</file>